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2461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</w:rPr>
      </w:pP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普兰店混塔弯螺栓（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>32套</w:t>
      </w: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）采购</w:t>
      </w:r>
      <w:r>
        <w:rPr>
          <w:rFonts w:hint="eastAsia" w:eastAsia="黑体"/>
          <w:b/>
          <w:color w:val="auto"/>
          <w:kern w:val="0"/>
          <w:sz w:val="36"/>
          <w:szCs w:val="36"/>
        </w:rPr>
        <w:t>项目</w:t>
      </w:r>
    </w:p>
    <w:p w14:paraId="76D17B9F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eastAsia="黑体"/>
          <w:b/>
          <w:color w:val="auto"/>
          <w:kern w:val="0"/>
          <w:sz w:val="36"/>
          <w:szCs w:val="36"/>
        </w:rPr>
        <w:t>竞争性谈判</w:t>
      </w:r>
      <w:r>
        <w:rPr>
          <w:rFonts w:eastAsia="黑体"/>
          <w:b/>
          <w:color w:val="auto"/>
          <w:kern w:val="0"/>
          <w:sz w:val="36"/>
          <w:szCs w:val="36"/>
        </w:rPr>
        <w:t>公告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 xml:space="preserve">  </w:t>
      </w:r>
    </w:p>
    <w:p w14:paraId="02D3D7E6">
      <w:pPr>
        <w:topLinePunct/>
        <w:adjustRightInd w:val="0"/>
        <w:snapToGrid w:val="0"/>
        <w:jc w:val="center"/>
        <w:rPr>
          <w:rFonts w:ascii="宋体" w:hAnsi="宋体"/>
          <w:b/>
          <w:color w:val="auto"/>
          <w:kern w:val="0"/>
          <w:sz w:val="36"/>
          <w:szCs w:val="36"/>
        </w:rPr>
      </w:pPr>
      <w:r>
        <w:rPr>
          <w:rFonts w:ascii="宋体" w:hAnsi="宋体"/>
          <w:b/>
          <w:color w:val="auto"/>
          <w:kern w:val="0"/>
          <w:sz w:val="36"/>
          <w:szCs w:val="36"/>
        </w:rPr>
        <w:t>（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项目</w:t>
      </w:r>
      <w:r>
        <w:rPr>
          <w:rFonts w:ascii="宋体" w:hAnsi="宋体"/>
          <w:b/>
          <w:color w:val="auto"/>
          <w:kern w:val="0"/>
          <w:sz w:val="36"/>
          <w:szCs w:val="36"/>
        </w:rPr>
        <w:t>编号：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TL</w:t>
      </w:r>
      <w:r>
        <w:rPr>
          <w:rFonts w:ascii="宋体" w:hAnsi="宋体"/>
          <w:b/>
          <w:color w:val="auto"/>
          <w:kern w:val="0"/>
          <w:sz w:val="36"/>
          <w:szCs w:val="36"/>
        </w:rPr>
        <w:t>LSZB-2025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-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HT02</w:t>
      </w:r>
      <w:r>
        <w:rPr>
          <w:rFonts w:ascii="宋体" w:hAnsi="宋体"/>
          <w:b/>
          <w:color w:val="auto"/>
          <w:kern w:val="0"/>
          <w:sz w:val="36"/>
          <w:szCs w:val="36"/>
        </w:rPr>
        <w:t>）</w:t>
      </w:r>
    </w:p>
    <w:p w14:paraId="0FC1D71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0" w:name="_Toc27476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1. 招标条件</w:t>
      </w:r>
      <w:bookmarkEnd w:id="0"/>
    </w:p>
    <w:p w14:paraId="59936A0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普兰店混塔弯螺栓（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）采购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项目资金来自企业自筹，招标人为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辽宁新兴佳风力发电设备制造有限公司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。项目已具备招标条件，现通过铁岭利晟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招标有限公司组织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对该项目进行公开竞争性谈判。</w:t>
      </w:r>
    </w:p>
    <w:p w14:paraId="388BEAF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1" w:name="_Toc28205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 项目概况与招标范围</w:t>
      </w:r>
      <w:bookmarkEnd w:id="1"/>
    </w:p>
    <w:p w14:paraId="0EE6B99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2.1 项目概况</w:t>
      </w:r>
    </w:p>
    <w:p w14:paraId="34F894C0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普兰店混塔弯螺栓（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）采购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项目 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供货地为铁岭。</w:t>
      </w:r>
    </w:p>
    <w:p w14:paraId="75EC7CB5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2.2 招标范围</w:t>
      </w:r>
    </w:p>
    <w:p w14:paraId="3C93A6F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详见弯螺栓报价清单及图纸。</w:t>
      </w:r>
    </w:p>
    <w:p w14:paraId="743E4E2B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2" w:name="_Toc18181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投标人资格要求</w:t>
      </w:r>
      <w:bookmarkEnd w:id="2"/>
    </w:p>
    <w:p w14:paraId="62681691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bookmarkStart w:id="3" w:name="_Toc2461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(1)谈判响应方须具有独立法人资格，持有有效的营业执照；</w:t>
      </w:r>
    </w:p>
    <w:p w14:paraId="0A3766C9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(2)谈判响应方应是一般纳税人资格，能开具增值税专用发票，如果不是一般纳税人资格，开具普通发票；</w:t>
      </w:r>
    </w:p>
    <w:p w14:paraId="4F5F0E0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(3)谈判响应方产品涉及的各种资格证齐全；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ab/>
      </w:r>
    </w:p>
    <w:p w14:paraId="2655F0D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)谈判响应方具有履行合同所必需的设备和专业技术、人员能力。</w:t>
      </w:r>
    </w:p>
    <w:p w14:paraId="7471F3A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4. </w:t>
      </w:r>
      <w:bookmarkEnd w:id="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现场谈判及报价文件的递交。</w:t>
      </w:r>
    </w:p>
    <w:p w14:paraId="5D16770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（1）谈判方式：现场谈判。</w:t>
      </w:r>
    </w:p>
    <w:p w14:paraId="082E454A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谈判时间：2025年9月22日（周一）  下午3点。</w:t>
      </w:r>
    </w:p>
    <w:p w14:paraId="32AB335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谈判地点：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辽宁新兴佳风力发电设备制造有限公司</w:t>
      </w:r>
    </w:p>
    <w:p w14:paraId="74CBB2B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 w:firstLine="556" w:firstLineChars="20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）报价方式：提供报价一览表和报价清单。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按照提供的表格填写，列报明细价格，每子项报价汇总为采购项目的总报价。</w:t>
      </w:r>
    </w:p>
    <w:p w14:paraId="0830C0A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23" w:beforeAutospacing="0" w:line="396" w:lineRule="auto"/>
        <w:ind w:right="140" w:rightChars="0" w:firstLine="556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）报价文件：现场提交纸质报价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5份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，另外将电子版报价文件发至Lnlszb2021@163.com邮箱备用。</w:t>
      </w:r>
    </w:p>
    <w:p w14:paraId="79F3F262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eastAsia="zh-CN"/>
        </w:rPr>
      </w:pPr>
      <w:bookmarkStart w:id="4" w:name="_Toc9485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. 发布公告的媒介</w:t>
      </w:r>
      <w:bookmarkEnd w:id="4"/>
    </w:p>
    <w:p w14:paraId="61B70C6A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本次招标公告在元博网采购与招标网（https://www.chinabidding.cn/）及铁岭利晟招标有限公司电子平台（原辽宁利晟，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instrText xml:space="preserve"> HYPERLINK "http://lnlszb.com" </w:instrTex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separate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http://lnlszb.com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）上同时发布。</w:t>
      </w:r>
    </w:p>
    <w:p w14:paraId="42A42454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val="zh-CN" w:eastAsia="zh-CN"/>
        </w:rPr>
      </w:pPr>
      <w:bookmarkStart w:id="5" w:name="_Toc26598"/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 xml:space="preserve">. </w:t>
      </w:r>
      <w:r>
        <w:rPr>
          <w:rFonts w:hint="eastAsia" w:ascii="宋体" w:hAnsi="宋体"/>
          <w:color w:val="auto"/>
          <w:sz w:val="28"/>
          <w:szCs w:val="28"/>
          <w:lang w:val="zh-CN" w:eastAsia="zh-CN"/>
        </w:rPr>
        <w:t>联系方式</w:t>
      </w:r>
      <w:bookmarkEnd w:id="5"/>
    </w:p>
    <w:p w14:paraId="764E8D0E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招标人：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辽宁新兴佳风力发电设备制造有限公司</w:t>
      </w:r>
    </w:p>
    <w:p w14:paraId="05FC41BD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联系人：赵先生（采购）、王先生（技术）</w:t>
      </w:r>
    </w:p>
    <w:p w14:paraId="2505230A">
      <w:pPr>
        <w:pStyle w:val="10"/>
        <w:snapToGrid/>
        <w:spacing w:after="0"/>
        <w:ind w:left="0"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13166667986、15940460121</w:t>
      </w:r>
    </w:p>
    <w:p w14:paraId="5CBD4688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招标代理机构：铁岭利晟招标有限公司</w:t>
      </w:r>
    </w:p>
    <w:p w14:paraId="3E7356D2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联系人：王女士</w:t>
      </w:r>
    </w:p>
    <w:p w14:paraId="209802F8">
      <w:pPr>
        <w:pStyle w:val="10"/>
        <w:snapToGrid/>
        <w:spacing w:after="0"/>
        <w:ind w:left="0"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话：18141005677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/024-76129661</w:t>
      </w:r>
    </w:p>
    <w:p w14:paraId="3FCF5D00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电子邮件：Lnlszb2021@163.com</w:t>
      </w:r>
    </w:p>
    <w:p w14:paraId="0124A86F">
      <w:pPr>
        <w:adjustRightInd w:val="0"/>
        <w:snapToGrid w:val="0"/>
        <w:ind w:firstLine="480" w:firstLineChars="200"/>
        <w:rPr>
          <w:rFonts w:ascii="宋体" w:hAnsi="宋体"/>
          <w:color w:val="auto"/>
        </w:rPr>
      </w:pPr>
      <w:r>
        <w:rPr>
          <w:rFonts w:ascii="宋体" w:hAnsi="宋体"/>
          <w:color w:val="auto"/>
          <w:kern w:val="0"/>
          <w:sz w:val="24"/>
        </w:rPr>
        <w:t xml:space="preserve">  </w:t>
      </w:r>
    </w:p>
    <w:p w14:paraId="58146028">
      <w:pPr>
        <w:adjustRightInd w:val="0"/>
        <w:snapToGrid w:val="0"/>
        <w:rPr>
          <w:rFonts w:ascii="宋体" w:hAnsi="宋体"/>
          <w:color w:val="auto"/>
        </w:rPr>
      </w:pPr>
    </w:p>
    <w:p w14:paraId="11241C25">
      <w:pPr>
        <w:topLinePunct/>
        <w:spacing w:line="360" w:lineRule="auto"/>
        <w:ind w:firstLine="240" w:firstLineChars="100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</w:rPr>
        <w:t>请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投标</w:t>
      </w:r>
      <w:r>
        <w:rPr>
          <w:rFonts w:hint="eastAsia" w:ascii="宋体" w:hAnsi="宋体" w:cs="宋体"/>
          <w:b/>
          <w:bCs/>
          <w:color w:val="auto"/>
          <w:sz w:val="24"/>
        </w:rPr>
        <w:t>单位在接到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邀请公告后</w:t>
      </w:r>
      <w:r>
        <w:rPr>
          <w:rFonts w:hint="eastAsia" w:ascii="宋体" w:hAnsi="宋体" w:cs="宋体"/>
          <w:b/>
          <w:bCs/>
          <w:color w:val="auto"/>
          <w:sz w:val="24"/>
        </w:rPr>
        <w:t>，认真阅读各项内容，进行必要的准备，并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将邀请回函</w:t>
      </w:r>
      <w:r>
        <w:rPr>
          <w:rFonts w:hint="eastAsia" w:ascii="宋体" w:hAnsi="宋体" w:cs="宋体"/>
          <w:b/>
          <w:bCs/>
          <w:color w:val="auto"/>
          <w:sz w:val="24"/>
        </w:rPr>
        <w:t>加盖单位公章的扫描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件于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19日前</w:t>
      </w:r>
      <w:r>
        <w:rPr>
          <w:rFonts w:hint="eastAsia" w:ascii="宋体" w:hAnsi="宋体" w:cs="宋体"/>
          <w:b/>
          <w:bCs/>
          <w:color w:val="auto"/>
          <w:sz w:val="24"/>
        </w:rPr>
        <w:t>回传至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招标代理机构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"mailto:398302968@qq.com邮箱。" </w:instrText>
      </w:r>
      <w:r>
        <w:rPr>
          <w:color w:val="auto"/>
        </w:rPr>
        <w:fldChar w:fldCharType="separate"/>
      </w:r>
      <w:bookmarkStart w:id="6" w:name="_Hlk101374737"/>
      <w:r>
        <w:rPr>
          <w:rFonts w:hint="eastAsia" w:ascii="宋体" w:hAnsi="宋体"/>
          <w:color w:val="auto"/>
          <w:sz w:val="28"/>
          <w:szCs w:val="28"/>
          <w:lang w:eastAsia="zh-CN"/>
        </w:rPr>
        <w:t>Lnlszb2021@163.com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邮箱</w:t>
      </w:r>
      <w:bookmarkEnd w:id="6"/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，以此回执确认贵单位参加此次采购项目的现场谈判。</w:t>
      </w:r>
      <w:r>
        <w:rPr>
          <w:rStyle w:val="13"/>
          <w:rFonts w:hint="eastAsia" w:ascii="宋体" w:hAnsi="宋体" w:cs="宋体"/>
          <w:b/>
          <w:color w:val="auto"/>
        </w:rPr>
        <w:fldChar w:fldCharType="end"/>
      </w:r>
    </w:p>
    <w:p w14:paraId="3F674D5E">
      <w:pPr>
        <w:rPr>
          <w:rFonts w:ascii="宋体" w:hAnsi="宋体"/>
          <w:color w:val="auto"/>
        </w:rPr>
      </w:pPr>
    </w:p>
    <w:p w14:paraId="528DC6DA">
      <w:pPr>
        <w:pStyle w:val="10"/>
        <w:rPr>
          <w:rFonts w:ascii="宋体" w:hAnsi="宋体"/>
          <w:color w:val="auto"/>
        </w:rPr>
      </w:pPr>
    </w:p>
    <w:p w14:paraId="6E70C6ED">
      <w:pPr>
        <w:rPr>
          <w:rFonts w:ascii="宋体" w:hAnsi="宋体"/>
          <w:color w:val="auto"/>
        </w:rPr>
      </w:pPr>
    </w:p>
    <w:p w14:paraId="7BC391C6">
      <w:pPr>
        <w:pStyle w:val="10"/>
        <w:rPr>
          <w:rFonts w:ascii="宋体" w:hAnsi="宋体"/>
          <w:color w:val="auto"/>
        </w:rPr>
      </w:pPr>
    </w:p>
    <w:p w14:paraId="06CD1B00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48"/>
          <w:szCs w:val="48"/>
        </w:rPr>
      </w:pP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邀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请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回</w:t>
      </w: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执</w:t>
      </w:r>
    </w:p>
    <w:p w14:paraId="05918122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24"/>
          <w:szCs w:val="24"/>
        </w:rPr>
      </w:pPr>
    </w:p>
    <w:p w14:paraId="3A139652">
      <w:pPr>
        <w:pStyle w:val="17"/>
        <w:pBdr>
          <w:top w:val="single" w:color="000000" w:sz="4" w:space="1"/>
        </w:pBdr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致：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铁岭利晟招标有限公司</w:t>
      </w:r>
      <w:bookmarkStart w:id="7" w:name="_GoBack"/>
      <w:bookmarkEnd w:id="7"/>
    </w:p>
    <w:p w14:paraId="27247456">
      <w:pPr>
        <w:spacing w:before="72" w:beforeLines="30" w:after="72" w:afterLines="30" w:line="360" w:lineRule="auto"/>
        <w:ind w:firstLine="703" w:firstLineChars="250"/>
        <w:rPr>
          <w:rFonts w:hint="eastAsia" w:asci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我单位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</w:rPr>
        <w:t>（单位名称）已收到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辽宁新兴佳风力发电设备制造有限公司</w:t>
      </w:r>
      <w:r>
        <w:rPr>
          <w:rFonts w:hint="eastAsia" w:ascii="宋体" w:hAnsi="宋体" w:cs="宋体"/>
          <w:b/>
          <w:color w:val="auto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普兰店混塔弯螺栓（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val="en-US" w:eastAsia="zh-CN"/>
        </w:rPr>
        <w:t>32套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）采购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b/>
          <w:bCs/>
          <w:color w:val="auto"/>
          <w:spacing w:val="-1"/>
          <w:kern w:val="0"/>
          <w:sz w:val="28"/>
          <w:szCs w:val="28"/>
          <w:u w:val="none"/>
          <w:lang w:eastAsia="zh-CN"/>
        </w:rPr>
        <w:t>竞争性谈判</w:t>
      </w: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eastAsia="zh-CN"/>
        </w:rPr>
        <w:t>公告</w:t>
      </w:r>
      <w:r>
        <w:rPr>
          <w:rFonts w:hint="eastAsia" w:ascii="宋体" w:hAnsi="宋体" w:cs="宋体"/>
          <w:b/>
          <w:color w:val="auto"/>
          <w:sz w:val="28"/>
          <w:szCs w:val="28"/>
        </w:rPr>
        <w:t>，我单位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确认将参加本项目现场谈判并</w:t>
      </w:r>
      <w:r>
        <w:rPr>
          <w:rFonts w:hint="eastAsia" w:ascii="宋体" w:hAnsi="宋体" w:cs="宋体"/>
          <w:b/>
          <w:color w:val="auto"/>
          <w:sz w:val="28"/>
          <w:szCs w:val="28"/>
        </w:rPr>
        <w:t>对谈判地点、时间无异议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。</w:t>
      </w:r>
    </w:p>
    <w:p w14:paraId="3C8FC5A8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729EA3A2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45B475F0">
      <w:pPr>
        <w:pStyle w:val="17"/>
        <w:spacing w:line="360" w:lineRule="auto"/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法定代表人或委托代理人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：（</w:t>
      </w:r>
      <w:r>
        <w:rPr>
          <w:rFonts w:hint="eastAsia" w:ascii="宋体" w:hAnsi="宋体" w:cs="宋体"/>
          <w:b/>
          <w:color w:val="auto"/>
          <w:sz w:val="28"/>
          <w:szCs w:val="28"/>
        </w:rPr>
        <w:t>签字或盖章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p w14:paraId="568570D3">
      <w:pPr>
        <w:pStyle w:val="17"/>
        <w:spacing w:line="360" w:lineRule="auto"/>
        <w:rPr>
          <w:rFonts w:hint="default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36095EE0">
      <w:pPr>
        <w:pStyle w:val="17"/>
        <w:spacing w:line="360" w:lineRule="auto"/>
        <w:rPr>
          <w:rFonts w:ascii="宋体" w:hAnsi="宋体" w:cs="宋体"/>
          <w:b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单位：（盖章）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</w:t>
      </w:r>
    </w:p>
    <w:p w14:paraId="20897AAA">
      <w:pPr>
        <w:pStyle w:val="17"/>
        <w:spacing w:line="360" w:lineRule="auto"/>
        <w:rPr>
          <w:rFonts w:hAnsi="宋体"/>
          <w:b/>
          <w:color w:val="auto"/>
          <w:kern w:val="44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日    期：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</w:t>
      </w:r>
    </w:p>
    <w:p w14:paraId="5533839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344BAAF8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5EABCA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13F60AC">
      <w:pPr>
        <w:rPr>
          <w:color w:val="auto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146A0"/>
    <w:rsid w:val="000E55E4"/>
    <w:rsid w:val="001D0496"/>
    <w:rsid w:val="002C01D6"/>
    <w:rsid w:val="00407E81"/>
    <w:rsid w:val="004404C3"/>
    <w:rsid w:val="00482BF5"/>
    <w:rsid w:val="006620F9"/>
    <w:rsid w:val="006C6AD4"/>
    <w:rsid w:val="00741E10"/>
    <w:rsid w:val="00835CE9"/>
    <w:rsid w:val="00853875"/>
    <w:rsid w:val="009A2EC7"/>
    <w:rsid w:val="00A95059"/>
    <w:rsid w:val="00AF1467"/>
    <w:rsid w:val="00BE43FF"/>
    <w:rsid w:val="00C212CD"/>
    <w:rsid w:val="00CD1590"/>
    <w:rsid w:val="00D97FC1"/>
    <w:rsid w:val="00E15853"/>
    <w:rsid w:val="00E7586D"/>
    <w:rsid w:val="00F2486C"/>
    <w:rsid w:val="00FA417C"/>
    <w:rsid w:val="00FB5714"/>
    <w:rsid w:val="023A530D"/>
    <w:rsid w:val="03C333EE"/>
    <w:rsid w:val="03F3623E"/>
    <w:rsid w:val="0789377D"/>
    <w:rsid w:val="07C20E4A"/>
    <w:rsid w:val="0983624F"/>
    <w:rsid w:val="0B095AB3"/>
    <w:rsid w:val="0B271D67"/>
    <w:rsid w:val="0C9E5429"/>
    <w:rsid w:val="0E7616B1"/>
    <w:rsid w:val="0ED747CF"/>
    <w:rsid w:val="0F9D2C6D"/>
    <w:rsid w:val="0FB22DC0"/>
    <w:rsid w:val="0FBD2D54"/>
    <w:rsid w:val="10D86618"/>
    <w:rsid w:val="134D4535"/>
    <w:rsid w:val="136A57AA"/>
    <w:rsid w:val="150D1907"/>
    <w:rsid w:val="15347BD0"/>
    <w:rsid w:val="17F453F5"/>
    <w:rsid w:val="18003D99"/>
    <w:rsid w:val="182F467F"/>
    <w:rsid w:val="1929085B"/>
    <w:rsid w:val="19A277FE"/>
    <w:rsid w:val="19E020D4"/>
    <w:rsid w:val="1AE65964"/>
    <w:rsid w:val="1B1C713C"/>
    <w:rsid w:val="1CA77BE1"/>
    <w:rsid w:val="1D3E15EC"/>
    <w:rsid w:val="1E21153E"/>
    <w:rsid w:val="1E562CEC"/>
    <w:rsid w:val="1FD31239"/>
    <w:rsid w:val="204A13B0"/>
    <w:rsid w:val="23103A2A"/>
    <w:rsid w:val="23892187"/>
    <w:rsid w:val="23987B62"/>
    <w:rsid w:val="24155071"/>
    <w:rsid w:val="24382E25"/>
    <w:rsid w:val="24973CD7"/>
    <w:rsid w:val="24D40A88"/>
    <w:rsid w:val="269C48C7"/>
    <w:rsid w:val="2743448D"/>
    <w:rsid w:val="27A42993"/>
    <w:rsid w:val="2A665F0A"/>
    <w:rsid w:val="2D1660E1"/>
    <w:rsid w:val="2DF3259C"/>
    <w:rsid w:val="30450A8C"/>
    <w:rsid w:val="31A43590"/>
    <w:rsid w:val="33953AD8"/>
    <w:rsid w:val="371F5B92"/>
    <w:rsid w:val="38740C1D"/>
    <w:rsid w:val="39651BA8"/>
    <w:rsid w:val="396957EB"/>
    <w:rsid w:val="3B0130C9"/>
    <w:rsid w:val="3E327BB7"/>
    <w:rsid w:val="3E8E35FE"/>
    <w:rsid w:val="40B93531"/>
    <w:rsid w:val="40C94F5F"/>
    <w:rsid w:val="41435F45"/>
    <w:rsid w:val="432C3718"/>
    <w:rsid w:val="433B06DB"/>
    <w:rsid w:val="43B92000"/>
    <w:rsid w:val="443C429D"/>
    <w:rsid w:val="44890FA2"/>
    <w:rsid w:val="448E552C"/>
    <w:rsid w:val="46040D75"/>
    <w:rsid w:val="48A146A0"/>
    <w:rsid w:val="4C7B665E"/>
    <w:rsid w:val="4DE42CFB"/>
    <w:rsid w:val="50D057F0"/>
    <w:rsid w:val="50E963FF"/>
    <w:rsid w:val="517D3BB6"/>
    <w:rsid w:val="51DB4EAC"/>
    <w:rsid w:val="51EA3097"/>
    <w:rsid w:val="529E7E5B"/>
    <w:rsid w:val="5307731F"/>
    <w:rsid w:val="53894668"/>
    <w:rsid w:val="53913289"/>
    <w:rsid w:val="54465880"/>
    <w:rsid w:val="54C87F4D"/>
    <w:rsid w:val="55D82BE1"/>
    <w:rsid w:val="565D1FD4"/>
    <w:rsid w:val="59037FED"/>
    <w:rsid w:val="59FB6C39"/>
    <w:rsid w:val="5A3612C1"/>
    <w:rsid w:val="5AD54636"/>
    <w:rsid w:val="5D4F249B"/>
    <w:rsid w:val="5FE61B61"/>
    <w:rsid w:val="60DF7FBD"/>
    <w:rsid w:val="63B3149C"/>
    <w:rsid w:val="67E6241D"/>
    <w:rsid w:val="68555D56"/>
    <w:rsid w:val="688B27D8"/>
    <w:rsid w:val="695E1C9B"/>
    <w:rsid w:val="69CF4986"/>
    <w:rsid w:val="714B0D57"/>
    <w:rsid w:val="71E800C7"/>
    <w:rsid w:val="748323FA"/>
    <w:rsid w:val="769A0A64"/>
    <w:rsid w:val="77D548DA"/>
    <w:rsid w:val="781A02CD"/>
    <w:rsid w:val="78F169A1"/>
    <w:rsid w:val="78F42E7A"/>
    <w:rsid w:val="7A64377C"/>
    <w:rsid w:val="7BD029C5"/>
    <w:rsid w:val="7C0A794B"/>
    <w:rsid w:val="7C2B4113"/>
    <w:rsid w:val="7C790E6E"/>
    <w:rsid w:val="7CBC46C1"/>
    <w:rsid w:val="7DC4490E"/>
    <w:rsid w:val="7E891567"/>
    <w:rsid w:val="7E8D6E52"/>
    <w:rsid w:val="7E992FFD"/>
    <w:rsid w:val="7F0C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annotation text"/>
    <w:basedOn w:val="1"/>
    <w:qFormat/>
    <w:uiPriority w:val="0"/>
    <w:pPr>
      <w:ind w:firstLine="482"/>
      <w:jc w:val="left"/>
    </w:pPr>
    <w:rPr>
      <w:rFonts w:ascii="Calibri" w:hAnsi="Calibri"/>
      <w:sz w:val="24"/>
      <w:szCs w:val="22"/>
    </w:rPr>
  </w:style>
  <w:style w:type="paragraph" w:styleId="6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28"/>
      <w:szCs w:val="28"/>
      <w:lang w:val="en-US" w:eastAsia="zh-CN" w:bidi="ar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character" w:styleId="13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2"/>
    <w:link w:val="9"/>
    <w:qFormat/>
    <w:uiPriority w:val="0"/>
    <w:rPr>
      <w:rFonts w:ascii="Times New Roman" w:hAnsi="Times New Roman"/>
      <w:kern w:val="2"/>
      <w:sz w:val="18"/>
      <w:szCs w:val="18"/>
      <w:lang w:bidi="ar-SA"/>
    </w:rPr>
  </w:style>
  <w:style w:type="paragraph" w:customStyle="1" w:styleId="17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1012</Characters>
  <Lines>10</Lines>
  <Paragraphs>2</Paragraphs>
  <TotalTime>3</TotalTime>
  <ScaleCrop>false</ScaleCrop>
  <LinksUpToDate>false</LinksUpToDate>
  <CharactersWithSpaces>1205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2025-03-20T01:01:00Z</dcterms:created>
  <dc:creator>刘 旭</dc:creator>
  <cp:lastModifiedBy>fwz</cp:lastModifiedBy>
  <cp:lastPrinted>2022-01-14T07:32:00Z</cp:lastPrinted>
  <dcterms:modified xsi:type="dcterms:W3CDTF">2025-09-05T00:23:41Z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7800BBA414D746BBB6F95BF8AF0EB766</vt:lpwstr>
  </property>
  <property fmtid="{D5CDD505-2E9C-101B-9397-08002B2CF9AE}" pid="4" name="KSOTemplateDocerSaveRecord">
    <vt:lpwstr>eyJoZGlkIjoiZTU4NmI0YjUzOTlkMTQ5NzliN2E5NmY0M2JlYzcyM2UifQ==</vt:lpwstr>
  </property>
</Properties>
</file>